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27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1.2022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  <w:u w:val="none"/>
        </w:rPr>
        <w:t xml:space="preserve">О </w:t>
      </w:r>
      <w:r>
        <w:rPr>
          <w:rFonts w:eastAsia="Calibri" w:cs="PT Astra Serif" w:ascii="PT Astra Serif" w:hAnsi="PT Astra Serif"/>
          <w:b/>
          <w:bCs/>
          <w:color w:val="auto"/>
          <w:kern w:val="0"/>
          <w:sz w:val="26"/>
          <w:szCs w:val="26"/>
          <w:u w:val="none"/>
          <w:lang w:val="ru-RU" w:eastAsia="zh-CN" w:bidi="ar-SA"/>
        </w:rPr>
        <w:t>признании утратившим силу отдельного положения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  <w:u w:val="none"/>
        </w:rPr>
        <w:t xml:space="preserve"> постановления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cs="PT Astra Serif" w:ascii="PT Astra Serif" w:hAnsi="PT Astra Serif"/>
          <w:b/>
          <w:bCs/>
          <w:color w:val="000000"/>
          <w:sz w:val="26"/>
          <w:szCs w:val="26"/>
          <w:u w:val="none"/>
        </w:rPr>
        <w:t xml:space="preserve">Правительства Ульяновской области от </w:t>
      </w:r>
      <w:r>
        <w:rPr>
          <w:rFonts w:eastAsia="Calibri" w:cs="PT Astra Serif" w:ascii="PT Astra Serif" w:hAnsi="PT Astra Serif"/>
          <w:b/>
          <w:bCs/>
          <w:color w:val="000000"/>
          <w:kern w:val="0"/>
          <w:sz w:val="26"/>
          <w:szCs w:val="26"/>
          <w:u w:val="none"/>
          <w:lang w:val="ru-RU" w:eastAsia="zh-CN" w:bidi="ar-SA"/>
        </w:rPr>
        <w:t>24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  <w:u w:val="none"/>
        </w:rPr>
        <w:t xml:space="preserve">.12.2021 № </w:t>
      </w:r>
      <w:r>
        <w:rPr>
          <w:rFonts w:eastAsia="Calibri" w:cs="PT Astra Serif" w:ascii="PT Astra Serif" w:hAnsi="PT Astra Serif"/>
          <w:b/>
          <w:bCs/>
          <w:color w:val="000000"/>
          <w:kern w:val="0"/>
          <w:sz w:val="26"/>
          <w:szCs w:val="26"/>
          <w:u w:val="none"/>
          <w:lang w:val="ru-RU" w:eastAsia="zh-CN" w:bidi="ar-SA"/>
        </w:rPr>
        <w:t>700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  <w:u w:val="none"/>
        </w:rPr>
        <w:t>-П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27</w:t>
      </w:r>
      <w:r>
        <w:rPr>
          <w:rFonts w:ascii="PT Astra Serif" w:hAnsi="PT Astra Serif"/>
          <w:sz w:val="26"/>
          <w:szCs w:val="26"/>
          <w:lang w:val="ru-RU"/>
        </w:rPr>
        <w:t xml:space="preserve"> января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u w:val="none"/>
        </w:rPr>
        <w:t xml:space="preserve">О 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sz w:val="26"/>
          <w:szCs w:val="26"/>
          <w:u w:val="none"/>
          <w:lang w:val="ru-RU" w:eastAsia="zh-CN" w:bidi="ar-SA"/>
        </w:rPr>
        <w:t>признании утратившим силу отдельного положения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u w:val="none"/>
        </w:rPr>
        <w:t xml:space="preserve"> постановления Правительства Ульяновской области от </w:t>
      </w:r>
      <w:r>
        <w:rPr>
          <w:rFonts w:eastAsia="Calibri" w:cs="PT Astra Serif" w:ascii="PT Astra Serif" w:hAnsi="PT Astra Serif"/>
          <w:b w:val="false"/>
          <w:bCs w:val="false"/>
          <w:color w:val="000000"/>
          <w:kern w:val="0"/>
          <w:sz w:val="26"/>
          <w:szCs w:val="26"/>
          <w:u w:val="none"/>
          <w:lang w:val="ru-RU" w:eastAsia="zh-CN" w:bidi="ar-SA"/>
        </w:rPr>
        <w:t>24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u w:val="none"/>
        </w:rPr>
        <w:t>.12.2021</w:t>
        <w:br/>
        <w:t xml:space="preserve">№ </w:t>
      </w:r>
      <w:r>
        <w:rPr>
          <w:rFonts w:eastAsia="Calibri" w:cs="PT Astra Serif" w:ascii="PT Astra Serif" w:hAnsi="PT Astra Serif"/>
          <w:b w:val="false"/>
          <w:bCs w:val="false"/>
          <w:color w:val="000000"/>
          <w:kern w:val="0"/>
          <w:sz w:val="26"/>
          <w:szCs w:val="26"/>
          <w:u w:val="none"/>
          <w:lang w:val="ru-RU" w:eastAsia="zh-CN" w:bidi="ar-SA"/>
        </w:rPr>
        <w:t>700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u w:val="none"/>
        </w:rPr>
        <w:t>-П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</w:t>
      </w:r>
      <w:r>
        <w:rPr>
          <w:rStyle w:val="Normaltextrun"/>
          <w:rFonts w:cs="PT Astra Serif" w:ascii="PT Astra Serif" w:hAnsi="PT Astra Serif"/>
          <w:b w:val="false"/>
          <w:bCs/>
          <w:color w:val="000000"/>
          <w:spacing w:val="4"/>
          <w:sz w:val="26"/>
          <w:szCs w:val="26"/>
          <w:lang w:val="ru-RU"/>
        </w:rPr>
        <w:t>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ascii="PT Astra Serif" w:hAnsi="PT Astra Serif"/>
          <w:bCs/>
          <w:sz w:val="26"/>
          <w:szCs w:val="26"/>
        </w:rPr>
        <w:t xml:space="preserve"> 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TW" w:bidi="ar-SA"/>
        </w:rPr>
        <w:t xml:space="preserve">в целях уточнения перечня контрольно-надзорных действий Министерства 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TW" w:bidi="ar-SA"/>
        </w:rPr>
        <w:t xml:space="preserve">агропромышленного комплекса и развития сельских территорий Ульяновской области при осуществлении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 w:bidi="ar-SA"/>
        </w:rPr>
        <w:t>регионально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>го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государственно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>го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контрол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>я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(надзора) (далее - Министерство) в области розничной продажи алкогольной</w:t>
        <w:br/>
        <w:t>и спиртосодержащей продукции на территории Ульяновской области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>.</w:t>
      </w:r>
    </w:p>
    <w:p>
      <w:pPr>
        <w:pStyle w:val="Normal"/>
        <w:widowControl/>
        <w:suppressAutoHyphens w:val="true"/>
        <w:overflowPunct w:val="true"/>
        <w:ind w:firstLine="709"/>
        <w:jc w:val="both"/>
        <w:rPr>
          <w:sz w:val="26"/>
          <w:szCs w:val="26"/>
        </w:rPr>
      </w:pPr>
      <w:r>
        <w:rPr>
          <w:rFonts w:cs="PT Astra Serif" w:ascii="PT Astra Serif" w:hAnsi="PT Astra Serif"/>
          <w:b w:val="false"/>
          <w:bCs w:val="false"/>
          <w:sz w:val="26"/>
          <w:szCs w:val="26"/>
          <w:lang w:eastAsia="zh-CN"/>
        </w:rPr>
        <w:t xml:space="preserve">Проект постановления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  <w:u w:val="none"/>
          <w:lang w:eastAsia="ru-RU"/>
        </w:rPr>
        <w:t xml:space="preserve">предусматривает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6"/>
          <w:szCs w:val="26"/>
          <w:highlight w:val="white"/>
          <w:u w:val="none"/>
          <w:lang w:val="ru-RU" w:eastAsia="ru-RU" w:bidi="ar-SA"/>
        </w:rPr>
        <w:t>признание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  <w:highlight w:val="white"/>
          <w:u w:val="none"/>
          <w:lang w:eastAsia="ru-RU"/>
        </w:rPr>
        <w:t xml:space="preserve"> утратившим силу 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TW" w:bidi="ar-SA"/>
        </w:rPr>
        <w:t xml:space="preserve">пункта 4.9 раздела 4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6"/>
          <w:szCs w:val="26"/>
          <w:highlight w:val="white"/>
          <w:u w:val="none"/>
          <w:lang w:eastAsia="ru-RU"/>
        </w:rPr>
        <w:t xml:space="preserve">Положения о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  <w:highlight w:val="white"/>
          <w:u w:val="none"/>
          <w:lang w:eastAsia="ru-RU"/>
        </w:rPr>
        <w:t>региональном государственном контроле (надзоре)</w:t>
        <w:br/>
        <w:t>в области розничной продажи алкогольной и спиртосодержащей продукции</w:t>
        <w:br/>
        <w:t xml:space="preserve">на территории Ульяновской области, утверждённое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-4"/>
          <w:sz w:val="26"/>
          <w:szCs w:val="26"/>
          <w:highlight w:val="white"/>
          <w:u w:val="none"/>
          <w:lang w:eastAsia="ru-RU"/>
        </w:rPr>
        <w:t xml:space="preserve">постановлением Правительства Ульяновской области от 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24.12.2021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-4"/>
          <w:sz w:val="26"/>
          <w:szCs w:val="26"/>
          <w:highlight w:val="white"/>
          <w:u w:val="none"/>
          <w:lang w:eastAsia="ru-RU"/>
        </w:rPr>
        <w:t xml:space="preserve"> № 700-П «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TW" w:bidi="ar-SA"/>
        </w:rPr>
        <w:t>Об утверждении По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ложения</w:t>
        <w:br/>
        <w:t>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TW" w:bidi="ar-SA"/>
        </w:rPr>
        <w:t xml:space="preserve"> регионально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м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TW" w:bidi="ar-SA"/>
        </w:rPr>
        <w:t xml:space="preserve"> государственно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м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TW" w:bidi="ar-SA"/>
        </w:rPr>
        <w:t xml:space="preserve"> контрол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е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TW" w:bidi="ar-SA"/>
        </w:rPr>
        <w:t xml:space="preserve"> (надзоре) в области розничной продажи алкогольной и спиртосодержащей продукции на территории Ульяновской области»,</w:t>
        <w:br/>
        <w:t xml:space="preserve">в соответствии с которым при осуществлении выездной проверки может осуществляться экспертиза. Данная норма является избыточной, поскольку при осуществлении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ru-RU" w:bidi="ar-SA"/>
        </w:rPr>
        <w:t>регионально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го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государственно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го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контрол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zh-CN" w:bidi="ar-SA"/>
        </w:rPr>
        <w:t>я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(надзора) в области розничной продажи алкогольной и спиртосодержащей продукции на территории Ульяновской области такое контрольное (надзорное) действие, как экспертиза, не проводится в связи с отсутствием необходимости в разрешении вопросов, требующих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eastAsia="zh-CN"/>
        </w:rPr>
        <w:t>специа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eastAsia="zh-CN"/>
        </w:rPr>
        <w:t xml:space="preserve">льных знаний в различных областях науки, техники, искусства или ремесла.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Application>LibreOffice/6.4.7.2$Linux_X86_64 LibreOffice_project/40$Build-2</Application>
  <Pages>1</Pages>
  <Words>313</Words>
  <Characters>2562</Characters>
  <CharactersWithSpaces>2916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2022-01-28T16:55:11Z</cp:lastPrinted>
  <dcterms:modified xsi:type="dcterms:W3CDTF">2022-01-28T16:57:21Z</dcterms:modified>
  <cp:revision>69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